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 praktyki zawodowej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Technik mechatronik 311410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</w:rPr>
        <w:t xml:space="preserve">raktyki zawodowe </w:t>
      </w:r>
      <w:r>
        <w:rPr>
          <w:rFonts w:cs="Times New Roman" w:ascii="Times New Roman" w:hAnsi="Times New Roman"/>
        </w:rPr>
        <w:t xml:space="preserve">organizowane są </w:t>
      </w:r>
      <w:r>
        <w:rPr>
          <w:rFonts w:cs="Times New Roman" w:ascii="Times New Roman" w:hAnsi="Times New Roman"/>
        </w:rPr>
        <w:t>w podmiocie zapewniającym rzeczywiste warunki pracy właściwe dla nauczanego zawodu w wymiarze 2x 140 godzin (4 tygodnie). Praktyka zawodowa dla zawodu technik mechatronik odbywa się w klasie III i IV.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 PRAKTYK:  Celem praktyki zawodowej jest pogłębianie zdobytej przez uczniów wiedzy</w:t>
        <w:br/>
        <w:t>i umiejętności, zastosowanie wiedzy teoretycznej w praktyce oraz poznanie zasad funkcjonowania przedsiębiorstwa w rzeczywistych warunkach pracy.</w:t>
      </w:r>
    </w:p>
    <w:p>
      <w:pPr>
        <w:pStyle w:val="Normal"/>
        <w:spacing w:before="0" w:after="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Liberation Serif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eastAsia="Liberation Serif" w:cs="Times New Roman" w:ascii="Times New Roman" w:hAnsi="Times New Roman"/>
          <w:b/>
          <w:sz w:val="24"/>
          <w:szCs w:val="24"/>
        </w:rPr>
        <w:t>Treści kształcenia: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 xml:space="preserve">Przeszkolenie z zakresu zasad ochrony przeciwpożarowej i przeciwporażeniowej.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 xml:space="preserve">Zapoznanie z zasadami ogólnymi BHP oraz zasadami bezpieczeństwa pracy na wybranych stanowiskach pracy. 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Zapoznanie z zagrożeniami dla zdrowia i życia na stanowiskach pracy, na których uczeń będzie realizował swoje zadania.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Zapoznanie z organizacją zakładu pracy oraz zarządzeniami obowiązującymi w zakładzie,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 xml:space="preserve">Organizacja stanowiska pracy oraz czynności związanych z realizacją zadania. 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 xml:space="preserve">Zapoznanie z dokumentacją techniczną w zakresie montażu, demontażu, instalowania, uruchamiania oraz obsługi urządzeń elektrycznych, pneumatycznych i hydraulicznych,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 xml:space="preserve">Planowanie i realizacja prac na podstawie dokumentacji technicznej (rysunków, schematów  </w:t>
        <w:br/>
        <w:t xml:space="preserve">  i opisów technicznych).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Zapoznanie z konserwacją urządzeń elektrycznych, pneumatycznych i hydraulicznych,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Zapoznanie ze sposobami remontu urządzeń elektrycznych, pneumatycznych</w:t>
        <w:br/>
        <w:t xml:space="preserve">    i hydraulicznych,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Zapoznanie z lokalizowaniem i usuwaniem drobnych awarii w systemach mechatronicznych.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Metodologia realizacji czynności montażu, demontażu, konserwacji elementów urządzeń mechatronicznych.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>Programowanie urządzeń i systemów mechatronicznych.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Times New Roman" w:ascii="Times New Roman" w:hAnsi="Times New Roman"/>
        </w:rPr>
        <w:t xml:space="preserve">Wykonywanie dokumentacji z zastosowaniem oprogramowania CAD/CAM urządzeń     </w:t>
        <w:br/>
        <w:t xml:space="preserve">         i   systemów mechatronicznych.</w:t>
      </w:r>
    </w:p>
    <w:p>
      <w:pPr>
        <w:pStyle w:val="Normal"/>
        <w:spacing w:before="0" w:after="0"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eastAsia="Liberation Serif"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Planowane zadania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Zadania przydzielane uczniowi na bieżąco w zależności od potrzeb działu (zespołu), w którym uczeń realizuje praktyki zawodowe. Zadania te powinny być zbieżne z efektami kształcenia właściwymi dla zawodu technik mechatronik.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Warunki osiągania efektów kształcenia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t xml:space="preserve">Praktyki zawodowe powinny być prowadzone w zakładach pracy. Wskazane jest, aby uczeń zapoznał się z różnymi etapami pracy w firmie produkcyjnej lub usługowej. Formę realizacji zajęć stanowi wspólna praca z nadzorującymi pracownikami zakładu. Zakres prac jest uzależniony od harmonogramu prac, przyjętego w terminie praktyki dla konkretnego zespołu pracowników. Wskazane jest, aby uczniowie, wykorzystując swoją wiedzę i umiejętności nabyte na zajęciach </w:t>
        <w:br/>
        <w:t xml:space="preserve">z podstaw przedsiębiorczości, sami znaleźli zakład, w którym mogą odbyć praktykę zawodową. Powinni oni więc nawiązać kontakt z kierownictwem wybranego zakładu, zaprezentować swoje umiejętności i zainteresowania oraz ustalić szczegółowy harmonogram praktyki. Rola szkoły w tym przypadku powinna ograniczyć się do zawarcia umowy, po uprzednim uzgodnieniu programu.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Program praktyki zawodowej można traktować w sposób elastyczny. Ze względów organizacyjnych dopuszcza się pewne zmiany związane ze specyfiką zakładu, w którym uczeń odbywa praktykę. Praktyka zawodowa powinna być tak zorganizowana, aby umożliwić uczniom zastosowanie </w:t>
        <w:br/>
        <w:t xml:space="preserve">i pogłębienie zdobytej wiedzy i umiejętności zawodowych w rzeczywistych warunkach pracy.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trakcie praktyki uczniowie powinni prowadzić dzienniczki praktyki, dokumentując w nich przebieg praktyki.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Zadania do wykonania przez uczniów w trakcie praktyki zawodowej powinny być skorelowane </w:t>
        <w:br/>
        <w:t xml:space="preserve">z efektami kształcenia zawodowego osiągniętymi przez ucznia w szkole.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Środki dydaktyczne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Dokumentacje techniczne, konstrukcyjne i instrukcje urządzeń, schematy ideowe i montażowe oraz czasopisma branżowe, katalogi, zakładowe przepisy BHP. Baza maszynowa i narzędziowa zakładu pracy.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Zalecane metody dydaktyczne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Podczas praktyk zawodowych wskazana jest metoda ćwiczeń praktycznych. Praca uczniów</w:t>
        <w:br/>
        <w:t xml:space="preserve">w zakładzie powinna być organizowana w zróżnicowany sposób, tak aby uczeń poznał jak najwięcej działów firmy.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Formy organizacyjne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Zajęcia powinny być prowadzone indywidualnie pod bezpośrednim nadzorem pracownika firmy. Uczniów należy przede wszystkim kierować na praktyki specjalistyczne do zakładów, które</w:t>
        <w:br/>
        <w:t>w przyszłości mogą zatrudniać absolwentów szkoły. Pożądane jest, aby uczniowie zapoznali się</w:t>
        <w:br/>
        <w:t>w zakładzie z pracą różnych działów. Uczniowie w zależności od rynku pracy mogą odbywać praktykę zgodnie z zainteresowaniami, w jednym z niżej wymienionych zakładów: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zakładach produkujących urządzenia elektryczne, pneumatyczne i hydrauliczne,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zakładach produkcyjnych przy eksploatacji urządzeń elektrycznych, pneumatycznych</w:t>
        <w:br/>
        <w:t xml:space="preserve">i hydraulicznych,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zakładach produkcyjnych przy wytwarzaniu systemów automatyki,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zakładach remontowych wykonujących remonty urządzeń elektrycznych, pneumatycznych  i hydraulicznych,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laboratoriach badawczych,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zakładach zajmujących się serwisem uruchomieniowym i gwarancyjnym.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Propozycje kryteriów oceny i metod sprawdzania efektów kształcenia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Zaliczenie praktyki powinno być potwierdzone w dzienniczku praktyk przez opiekuna praktyk zawodowych na podstawie obserwacji czynności wykonywanych przez ucznia podczas realizacji zadań oraz sposobu prowadzenia dzienniczka praktyki zawodowej.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Celowe byłoby, aby uczeń zapisując w dzienniczku praktyki zawodowej w podsumowaniu praktyki dokonał analizy organizacji pracy na danym stanowisku z uzasadnieniem, dlaczego tak zorganizowano pracę oraz wskazał na ewentualne czynniki, które poprawią organizację pracy.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Po zakończeniu realizacji programu praktyki, osoba prowadzącą praktykę powinna wpisać </w:t>
        <w:br/>
        <w:t xml:space="preserve">w dzienniczku praktyk opinię o pracy ucznia oraz wystawić ocenę końcową </w:t>
      </w:r>
      <w:r>
        <w:rPr>
          <w:rFonts w:cs="Times New Roman" w:ascii="Times New Roman" w:hAnsi="Times New Roman"/>
          <w:color w:val="000000"/>
          <w:sz w:val="22"/>
          <w:szCs w:val="22"/>
        </w:rPr>
        <w:t>w stopniach szkolnych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winna uwzględniać następujące kryteria: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dyscyplina,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kultura osobista i zawodowa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zdyscyplinowanie i punktualność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samodzielność pracy,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pracowitość, jakość wykonanej pracy,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przestrzeganie przepisów bezpieczeństwa i higieny pracy.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Calibri" w:ascii="Calibri" w:hAnsi="Calibri"/>
          <w:color w:val="000000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Formy indywidualizacji pracy uczniów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Formy indywidualizacji pracy uczniów uwzględniające: 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dostosowanie warunków, środków, metod i form kształcenia do potrzeb ucznia,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dostosowanie warunków, środków, metod i form kształcenia do możliwości ucznia.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Indywidualizacja pracy uczniów polegać może na dostosowaniu stopnia trudności zadań oraz czasu ich wykonywania do potrzeb i możliwości uczniów. W zakresie organizacji pracy można zastosować instrukcje do ćwiczeń, podawanie dodatkowych zaleceń, instrukcji do pracy indywidualnej, udzielanie konsultacji indywidualnych. W pracy grupowej należy zwracać uwagę na taki podział zadań między członków zespołu, by każdy wykonywał tę część zadania, której podoła, jeśli charakter zadania to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umożliwia. Uczniom szczególnie zdolnym i posiadającym określone zainteresowania zawodowe należy zaplanować zadania o większym stopniu złożoności, proponować samodzielne poszerzanie wiedzy, studiowanie dodatkowej literatury.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Wskazane jest, aby opiekun praktyki zawodowej przygotował zadania o zróżnicowanym poziomie trudności dostosowanym do możliwości i potrzeb uczniów, uwzględniając ich zainteresowania              i zdiagnozowane ograniczenia. Należy zwrócić uwagę na to, aby uczniowie o różnych preferowanych typach uczenia się byli aktywni podczas pracy na danym stanowisku i otrzymali wsparcie od opiekuna praktyki zawodowej odpowiednie do swoich możliwości i preferencji.</w:t>
      </w:r>
    </w:p>
    <w:p>
      <w:pPr>
        <w:pStyle w:val="NormalnyWeb"/>
        <w:widowControl/>
        <w:suppressAutoHyphens w:val="true"/>
        <w:bidi w:val="0"/>
        <w:spacing w:lineRule="auto" w:line="276" w:before="280" w:after="280"/>
        <w:ind w:left="227" w:right="0" w:hanging="0"/>
        <w:jc w:val="left"/>
        <w:rPr>
          <w:color w:val="000000"/>
          <w:sz w:val="22"/>
          <w:szCs w:val="22"/>
        </w:rPr>
      </w:pPr>
      <w:r>
        <w:rPr>
          <w:rFonts w:cs="Times New Roman" w:ascii="Times New Roman" w:hAnsi="Times New Roman"/>
        </w:rPr>
      </w:r>
    </w:p>
    <w:p>
      <w:pPr>
        <w:pStyle w:val="NormalnyWeb"/>
        <w:ind w:firstLine="70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Akapitzlist"/>
        <w:autoSpaceDE w:val="false"/>
        <w:spacing w:lineRule="auto" w:line="240" w:before="0" w:after="0"/>
        <w:contextualSpacing/>
        <w:jc w:val="both"/>
        <w:rPr/>
      </w:pPr>
      <w:r>
        <w:rPr/>
        <w:t xml:space="preserve">Wyrażam zgodę na przyjęcie ucznia……………………………………………………………….... na praktykę zawodową                                                                             </w:t>
      </w:r>
      <w:r>
        <w:rPr>
          <w:sz w:val="16"/>
          <w:szCs w:val="16"/>
          <w:lang w:eastAsia="en-US"/>
        </w:rPr>
        <w:t>Imię i nazwisko</w:t>
      </w:r>
    </w:p>
    <w:p>
      <w:pPr>
        <w:pStyle w:val="Akapitzlist"/>
        <w:autoSpaceDE w:val="false"/>
        <w:spacing w:lineRule="auto" w:line="240" w:before="0" w:after="0"/>
        <w:contextualSpacing/>
        <w:jc w:val="both"/>
        <w:rPr/>
      </w:pPr>
      <w:r>
        <w:rPr/>
        <w:tab/>
        <w:tab/>
        <w:tab/>
        <w:tab/>
        <w:tab/>
      </w:r>
    </w:p>
    <w:p>
      <w:pPr>
        <w:pStyle w:val="Akapitzlist"/>
        <w:autoSpaceDE w:val="false"/>
        <w:spacing w:lineRule="auto" w:line="240" w:before="0" w:after="0"/>
        <w:contextualSpacing/>
        <w:jc w:val="both"/>
        <w:rPr/>
      </w:pPr>
      <w:r>
        <w:rPr/>
        <w:t>w terminie …………………………………………….</w:t>
      </w:r>
    </w:p>
    <w:p>
      <w:pPr>
        <w:pStyle w:val="Akapitzlist"/>
        <w:autoSpaceDE w:val="false"/>
        <w:spacing w:lineRule="auto" w:line="240" w:before="0" w:after="0"/>
        <w:contextualSpacing/>
        <w:jc w:val="both"/>
        <w:rPr/>
      </w:pPr>
      <w:r>
        <w:rPr/>
      </w:r>
    </w:p>
    <w:p>
      <w:pPr>
        <w:pStyle w:val="Akapitzlist"/>
        <w:autoSpaceDE w:val="false"/>
        <w:spacing w:lineRule="auto" w:line="240" w:before="0" w:after="0"/>
        <w:contextualSpacing/>
        <w:jc w:val="both"/>
        <w:rPr/>
      </w:pPr>
      <w:r>
        <w:rPr/>
      </w:r>
    </w:p>
    <w:p>
      <w:pPr>
        <w:pStyle w:val="Akapitzlist"/>
        <w:autoSpaceDE w:val="false"/>
        <w:spacing w:lineRule="auto" w:line="240" w:before="0" w:after="0"/>
        <w:contextualSpacing/>
        <w:jc w:val="both"/>
        <w:rPr/>
      </w:pPr>
      <w:r>
        <w:rPr/>
        <w:tab/>
        <w:tab/>
        <w:tab/>
        <w:tab/>
        <w:tab/>
        <w:tab/>
        <w:t>……………………………………………..</w:t>
      </w:r>
    </w:p>
    <w:p>
      <w:pPr>
        <w:pStyle w:val="Akapitzlist"/>
        <w:autoSpaceDE w:val="false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Liberation Serif" w:cs="Times New Roman"/>
          <w:sz w:val="24"/>
        </w:rPr>
      </w:pPr>
      <w:r>
        <w:rPr>
          <w:rFonts w:cs="Calibri"/>
          <w:sz w:val="16"/>
          <w:szCs w:val="16"/>
        </w:rPr>
        <w:tab/>
        <w:tab/>
        <w:tab/>
        <w:tab/>
        <w:tab/>
        <w:tab/>
        <w:t>Pieczątka i podpis pracodawcy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005" w:top="2145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362565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>
        <w:sz w:val="16"/>
        <w:szCs w:val="16"/>
      </w:rPr>
      <w:t>Centrum Kształcenia Zawodowego i Ustawicznego w Jaworznie                                                                                                                                       ul. Promienna 65, 43-60</w:t>
    </w:r>
    <w:r>
      <w:rPr>
        <w:sz w:val="16"/>
        <w:szCs w:val="16"/>
      </w:rPr>
      <w:t>0</w:t>
    </w:r>
    <w:r>
      <w:rPr>
        <w:sz w:val="16"/>
        <w:szCs w:val="16"/>
      </w:rPr>
      <w:t xml:space="preserve"> Jaworzno                                                                                                                                                                                      tel. (32) 762-91-00, e-mail: </w:t>
    </w:r>
    <w:hyperlink r:id="rId1">
      <w:r>
        <w:rPr>
          <w:rStyle w:val="Czeinternetowe"/>
          <w:rFonts w:cs="Arial"/>
          <w:sz w:val="16"/>
          <w:szCs w:val="16"/>
        </w:rPr>
        <w:t>sekretariat@ckziu.jaworzno.pl</w:t>
      </w:r>
    </w:hyperlink>
    <w:r>
      <w:rPr>
        <w:rStyle w:val="Czeinternetowe"/>
        <w:rFonts w:cs="Arial"/>
        <w:sz w:val="16"/>
        <w:szCs w:val="16"/>
      </w:rPr>
      <w:t xml:space="preserve"> </w:t>
    </w:r>
    <w:r>
      <w:rPr>
        <w:rStyle w:val="Czeinternetowe"/>
        <w:rFonts w:cs="Arial"/>
        <w:sz w:val="16"/>
        <w:szCs w:val="16"/>
        <w:u w:val="none"/>
      </w:rPr>
      <w:t xml:space="preserve">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Teresa Mulka-Łuszcz – kierownik praktyk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e-mail: </w:t>
    </w:r>
    <w:r>
      <w:rPr>
        <w:color w:val="0000FF"/>
        <w:sz w:val="16"/>
        <w:szCs w:val="16"/>
        <w:u w:val="single"/>
      </w:rPr>
      <w:t>teresa.mulka-luszcz</w:t>
    </w:r>
    <w:hyperlink r:id="rId2">
      <w:r>
        <w:rPr>
          <w:rStyle w:val="Czeinternetowe"/>
          <w:rFonts w:cs="Arial"/>
          <w:sz w:val="16"/>
          <w:szCs w:val="16"/>
        </w:rPr>
        <w:t>@ckziu.jaworzno.pl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e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02c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2c11"/>
    <w:rPr/>
  </w:style>
  <w:style w:type="character" w:styleId="AkapitzlistZnak" w:customStyle="1">
    <w:name w:val="Akapit z listą Znak"/>
    <w:link w:val="Akapitzlist"/>
    <w:uiPriority w:val="34"/>
    <w:qFormat/>
    <w:locked/>
    <w:rsid w:val="00377393"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002c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f736a9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02c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alnyWeb">
    <w:name w:val="Normalny (Web)"/>
    <w:basedOn w:val="Normal"/>
    <w:qFormat/>
    <w:pPr>
      <w:spacing w:before="280" w:after="280"/>
    </w:pPr>
    <w:rPr>
      <w:rFonts w:eastAsia="Simang;Arial Unicode MS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ekretariat@ckziu.jaworzno.pl" TargetMode="External"/><Relationship Id="rId2" Type="http://schemas.openxmlformats.org/officeDocument/2006/relationships/hyperlink" Target="mailto:robert.trojanowski@ckziu.jaworzno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4171</TotalTime>
  <Application>LibreOffice/7.2.7.2$Windows_X86_64 LibreOffice_project/8d71d29d553c0f7dcbfa38fbfda25ee34cce99a2</Application>
  <AppVersion>15.0000</AppVersion>
  <Pages>3</Pages>
  <Words>949</Words>
  <Characters>6752</Characters>
  <CharactersWithSpaces>8236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2021-09-07T11:45:00Z</dcterms:created>
  <dc:creator>tech_energetyczne</dc:creator>
  <dc:description/>
  <dc:language>pl-PL</dc:language>
  <cp:lastModifiedBy/>
  <cp:lastPrinted>2021-10-08T09:21:00Z</cp:lastPrinted>
  <dcterms:modified xsi:type="dcterms:W3CDTF">2022-10-12T22:54:59Z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